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Start w:id="1" w:name="__DdeLink__11210_1979629821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17.08.2022</w:t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Реализацию НСПД в ПФО обсудили на окружном совещании Росреестра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В рамках рабочего визита делегации Росреестра в Республику Татарстан под председательством руководителя ведомства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Олега Скуфинского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Росреестра в электронный вид. В мероприятии приняли участие заместитель руководителя ведомства, руководитель цифровой трансформации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Елена Мартынова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, заместитель руководителя Службы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Татьяна Громова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, директор ФГБУ «ФКП Росреестра»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Владислав Жданов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, руководители территориальных управлений ведомства и филиалов Кадастровой палаты Приволжского федерального округа.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Уже в следующем году первые пилотные регионы смогут оценить результаты внедрения сервисов НСПД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, – заявил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Олег Скуфинский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. – 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».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Почти половина заявлений на учетно-регистрационные действия поступает в Росреестр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Елена Мартынова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Главная задача системы Росреестра – обеспечить гарантию имущественных прав граждан. Для этого мы системно работаем над повышением качества услуг, сокращением сроков их предоставления, 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», – отметила она.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 Республика Башкортостан (90%).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Также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Елена Мартынова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заявила, что сокращению сроков оказания услуг способствует реализация проекта «Стоп-бумага», в рамках которого с 29 июня Росреестр и МФЦ перешли на безбумажный документооборот.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О работе по наполнению ЕГРН необходимыми сведениями, рассказала заместитель руководителя Росреестра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Татьяна Громова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», – сказала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Татьяна Громова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, добавив, что мероприятия направлены в первую очередь на защиту имущественных прав собственников.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Башкортостан, 598 – в Самарской области.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 ходе встречи региональные управления Росреестра и филиалы ФГБУ «ФКП Росреестра» отчитались об итогах своей деятельности за первое полугодие 2022 года.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Руководитель территориального управления по Республике Татарстан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Азат Зяббаров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рассказал, что развитие цифровых сервисов и электронного взаимодействия одни из ключевых направлением работы.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Росреестр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, - рассказал он.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По итогам 1 полугодия 2022 года в Башкортостане почти полностью перешли на электронное взаимодействие с Росреестром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, – заявил руководитель Управления Росреестра по Республике Башкортостан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Петр Клец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. – 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Росреестра в региональном разделе «Обращения граждан» размещен QR-код для перехода в сервис»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Владислав Решетов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Оренбуржцы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оренбуржцами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Росреестра на портал Госуслуг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».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Вадим Маликов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, руководитель Управления по Самарской области в свою очередь отметил, что развитие электронных сервисов Росреестра позволяет снизить временные затраты на подачу заявлений на учетно-регистрационные действия.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</w:t>
      </w:r>
      <w:bookmarkStart w:id="2" w:name="__DdeLink__11210_1979629821"/>
      <w:r>
        <w:rPr>
          <w:rFonts w:ascii="Times New Roman" w:cs="Times New Roman" w:hAnsi="Times New Roman"/>
          <w:i/>
          <w:color w:val="000000"/>
          <w:sz w:val="28"/>
          <w:szCs w:val="28"/>
          <w:shd w:fill="FFFFFF" w:val="clear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bookmarkEnd w:id="2"/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», – сказал он.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Материал подготовлен пресс-службой Центрального аппарата Росреестра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https://t.me/rosreestr_63, https://vk.com/rosreestr63</w:t>
      </w:r>
    </w:p>
    <w:p>
      <w:pPr>
        <w:pStyle w:val="style0"/>
        <w:spacing w:after="0" w:before="0" w:line="360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2022-08-19T05:08:00.00Z</dcterms:created>
  <dc:creator>Самсоненко Мария Михайловна</dc:creator>
  <cp:lastModifiedBy>Говорова Елена Геннадиевна</cp:lastModifiedBy>
  <dcterms:modified xsi:type="dcterms:W3CDTF">2022-08-19T05:08:00.00Z</dcterms:modified>
  <cp:revision>2</cp:revision>
</cp:coreProperties>
</file>